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75AC8" w14:textId="53E0D875" w:rsidR="00AF6AB5" w:rsidRDefault="00AF6AB5" w:rsidP="00AF6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549C6">
        <w:rPr>
          <w:b/>
          <w:noProof/>
          <w:sz w:val="24"/>
        </w:rPr>
        <w:t>321</w:t>
      </w:r>
    </w:p>
    <w:p w14:paraId="2059C79F" w14:textId="233E6729" w:rsidR="00F11FA8" w:rsidRDefault="00AF6AB5" w:rsidP="00AF6AB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0D3B8E4A" w14:textId="68ED91B0" w:rsidR="00455DF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0A3032" w:rsidRPr="000A3032">
        <w:rPr>
          <w:rFonts w:ascii="Arial" w:hAnsi="Arial" w:cs="Arial"/>
          <w:b/>
          <w:bCs/>
          <w:sz w:val="22"/>
          <w:szCs w:val="22"/>
        </w:rPr>
        <w:t>Reply LS on in-path and in-query parameters</w:t>
      </w:r>
    </w:p>
    <w:p w14:paraId="06BA196E" w14:textId="6872D52C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A3032" w:rsidRPr="000A3032">
        <w:rPr>
          <w:rFonts w:ascii="Arial" w:hAnsi="Arial" w:cs="Arial"/>
          <w:b/>
          <w:bCs/>
          <w:sz w:val="22"/>
          <w:szCs w:val="22"/>
        </w:rPr>
        <w:t>LS to 3GPP CT4 on in-path and in-query parameters</w:t>
      </w:r>
    </w:p>
    <w:p w14:paraId="2C6E4D6E" w14:textId="44103219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D60CDD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C17D60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A3032">
        <w:rPr>
          <w:rFonts w:ascii="Arial" w:hAnsi="Arial" w:cs="Arial"/>
          <w:b/>
          <w:bCs/>
          <w:sz w:val="22"/>
          <w:szCs w:val="22"/>
        </w:rPr>
        <w:t>TEI</w:t>
      </w:r>
      <w:r w:rsidR="00D60CDD">
        <w:rPr>
          <w:rFonts w:ascii="Arial" w:hAnsi="Arial" w:cs="Arial"/>
          <w:b/>
          <w:bCs/>
          <w:sz w:val="22"/>
          <w:szCs w:val="22"/>
        </w:rPr>
        <w:t>18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7E2FE0EC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r w:rsidR="00D60CDD">
        <w:rPr>
          <w:rFonts w:ascii="Arial" w:hAnsi="Arial" w:cs="Arial"/>
          <w:b/>
          <w:sz w:val="22"/>
          <w:szCs w:val="22"/>
        </w:rPr>
        <w:t>3GPP CT4</w:t>
      </w:r>
    </w:p>
    <w:p w14:paraId="2548326B" w14:textId="3F984925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D60CDD" w:rsidRPr="00D60CDD">
        <w:rPr>
          <w:rFonts w:ascii="Arial" w:hAnsi="Arial" w:cs="Arial"/>
          <w:b/>
          <w:bCs/>
          <w:sz w:val="22"/>
          <w:szCs w:val="22"/>
        </w:rPr>
        <w:t>GSMA 5GMRR</w:t>
      </w:r>
    </w:p>
    <w:p w14:paraId="5DC2ED77" w14:textId="76F7FA6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D60CDD">
        <w:rPr>
          <w:rFonts w:ascii="Arial" w:hAnsi="Arial" w:cs="Arial"/>
          <w:b/>
          <w:bCs/>
          <w:sz w:val="22"/>
          <w:szCs w:val="22"/>
        </w:rPr>
        <w:t>3GPP SA3</w:t>
      </w:r>
    </w:p>
    <w:bookmarkEnd w:id="5"/>
    <w:bookmarkEnd w:id="6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D58B1D" w14:textId="77777777" w:rsidR="00CE1A3F" w:rsidRPr="000F4E43" w:rsidRDefault="00CE1A3F" w:rsidP="00CE1A3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46DAD0" w14:textId="0ABE5919" w:rsidR="00CE1A3F" w:rsidRPr="000F4E43" w:rsidRDefault="00CE1A3F" w:rsidP="00CE1A3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1A3F">
        <w:t>Caixia Qi</w:t>
      </w:r>
    </w:p>
    <w:p w14:paraId="4A046EC9" w14:textId="5715CA6D" w:rsidR="00CE1A3F" w:rsidRPr="000F4E43" w:rsidRDefault="00CE1A3F" w:rsidP="00CE1A3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Pr="00942610">
          <w:rPr>
            <w:rStyle w:val="af5"/>
            <w:sz w:val="22"/>
            <w:szCs w:val="22"/>
          </w:rPr>
          <w:t>caixia.qi@huawei.com</w:t>
        </w:r>
      </w:hyperlink>
    </w:p>
    <w:p w14:paraId="45161FFA" w14:textId="77777777" w:rsidR="00CE1A3F" w:rsidRPr="00114106" w:rsidRDefault="00CE1A3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386BF1B" w:rsidR="00B97703" w:rsidRDefault="00B97703" w:rsidP="00114106">
      <w:pPr>
        <w:spacing w:after="60"/>
        <w:ind w:left="1985" w:hanging="1985"/>
        <w:rPr>
          <w:rFonts w:ascii="Arial" w:hAnsi="Arial" w:cs="Arial"/>
          <w:b/>
        </w:rPr>
      </w:pPr>
      <w:r w:rsidRPr="00114106">
        <w:rPr>
          <w:rFonts w:ascii="Arial" w:hAnsi="Arial" w:cs="Arial"/>
          <w:b/>
        </w:rPr>
        <w:t>Attachments:</w:t>
      </w:r>
    </w:p>
    <w:p w14:paraId="277CA75C" w14:textId="77777777" w:rsidR="00FA5F49" w:rsidRPr="000F4E43" w:rsidRDefault="00FA5F49" w:rsidP="00FA5F49">
      <w:pPr>
        <w:pBdr>
          <w:bottom w:val="single" w:sz="4" w:space="1" w:color="auto"/>
        </w:pBdr>
        <w:rPr>
          <w:rFonts w:ascii="Arial" w:hAnsi="Arial" w:cs="Arial"/>
        </w:rPr>
      </w:pPr>
    </w:p>
    <w:p w14:paraId="742D2A38" w14:textId="77777777" w:rsidR="00FA5F49" w:rsidRPr="000F4E43" w:rsidRDefault="00FA5F49" w:rsidP="00FA5F49">
      <w:pPr>
        <w:rPr>
          <w:rFonts w:ascii="Arial" w:hAnsi="Arial" w:cs="Arial"/>
        </w:rPr>
      </w:pPr>
    </w:p>
    <w:p w14:paraId="799A6088" w14:textId="77777777" w:rsidR="00FA5F49" w:rsidRPr="000F4E43" w:rsidRDefault="00FA5F49" w:rsidP="00FA5F4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CF90C4" w14:textId="58BBCCE3" w:rsidR="00A347E6" w:rsidRDefault="004048F6" w:rsidP="004048F6">
      <w:pPr>
        <w:jc w:val="both"/>
        <w:rPr>
          <w:color w:val="000000" w:themeColor="text1"/>
        </w:rPr>
      </w:pPr>
      <w:r>
        <w:rPr>
          <w:color w:val="000000" w:themeColor="text1"/>
        </w:rPr>
        <w:t>GSMA has sent a LS to CT4 on handling the leakage of sensitive information in the "</w:t>
      </w:r>
      <w:proofErr w:type="spellStart"/>
      <w:r>
        <w:rPr>
          <w:color w:val="000000" w:themeColor="text1"/>
        </w:rPr>
        <w:t>RequestLine</w:t>
      </w:r>
      <w:proofErr w:type="spellEnd"/>
      <w:r>
        <w:rPr>
          <w:color w:val="000000" w:themeColor="text1"/>
        </w:rPr>
        <w:t xml:space="preserve">" field. </w:t>
      </w:r>
      <w:r w:rsidR="00D60CDD">
        <w:rPr>
          <w:color w:val="000000" w:themeColor="text1"/>
        </w:rPr>
        <w:t>CT4</w:t>
      </w:r>
      <w:r w:rsidR="00394349">
        <w:rPr>
          <w:color w:val="000000" w:themeColor="text1"/>
        </w:rPr>
        <w:t xml:space="preserve"> provides the following answers for </w:t>
      </w:r>
      <w:r w:rsidR="00D60CDD">
        <w:rPr>
          <w:color w:val="000000" w:themeColor="text1"/>
        </w:rPr>
        <w:t xml:space="preserve">GSMA </w:t>
      </w:r>
      <w:r w:rsidR="00394349">
        <w:rPr>
          <w:color w:val="000000" w:themeColor="text1"/>
        </w:rPr>
        <w:t>reference</w:t>
      </w:r>
      <w:r w:rsidR="00A347E6">
        <w:rPr>
          <w:color w:val="000000" w:themeColor="text1"/>
        </w:rPr>
        <w:t>:</w:t>
      </w:r>
    </w:p>
    <w:p w14:paraId="599FBE1C" w14:textId="77777777" w:rsidR="00394349" w:rsidRDefault="00394349" w:rsidP="00394349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Q1: With respect to reformatting (clauses 5.3.2.3 and 6.2.5), the exact handling of in-query parameter names and values remains unclear. Are they included in the "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Pr="0464CF35">
        <w:rPr>
          <w:rFonts w:eastAsia="Arial" w:cs="Arial"/>
          <w:szCs w:val="22"/>
        </w:rPr>
        <w:t>" (e.g. appended to the "path" component or placed into the "</w:t>
      </w:r>
      <w:proofErr w:type="spellStart"/>
      <w:r w:rsidRPr="0464CF35">
        <w:rPr>
          <w:rFonts w:eastAsia="Arial" w:cs="Arial"/>
          <w:szCs w:val="22"/>
        </w:rPr>
        <w:t>queryFragment</w:t>
      </w:r>
      <w:proofErr w:type="spellEnd"/>
      <w:r w:rsidRPr="0464CF35">
        <w:rPr>
          <w:rFonts w:eastAsia="Arial" w:cs="Arial"/>
          <w:szCs w:val="22"/>
        </w:rPr>
        <w:t>" component), or processed in a different way? (This question partly arises due to the difference between “query” and “fragment” part of a URI according to sections 3.4 and 3.5 of RFC 3986).</w:t>
      </w:r>
    </w:p>
    <w:p w14:paraId="6F5F5E52" w14:textId="52D5B302" w:rsidR="00394349" w:rsidRDefault="00394349" w:rsidP="00394349">
      <w:pPr>
        <w:jc w:val="both"/>
        <w:rPr>
          <w:rFonts w:eastAsia="Arial" w:cs="Arial"/>
          <w:szCs w:val="22"/>
        </w:rPr>
      </w:pPr>
      <w:r>
        <w:rPr>
          <w:color w:val="000000" w:themeColor="text1"/>
        </w:rPr>
        <w:t xml:space="preserve">Reply1: </w:t>
      </w:r>
      <w:r w:rsidR="00D60CDD">
        <w:rPr>
          <w:color w:val="000000" w:themeColor="text1"/>
        </w:rPr>
        <w:t>CT4</w:t>
      </w:r>
      <w:r>
        <w:rPr>
          <w:color w:val="000000" w:themeColor="text1"/>
        </w:rPr>
        <w:t xml:space="preserve"> would like GSMA to clarify whether "</w:t>
      </w:r>
      <w:r w:rsidRPr="00394349">
        <w:rPr>
          <w:rFonts w:eastAsia="Arial" w:cs="Arial"/>
          <w:szCs w:val="22"/>
        </w:rPr>
        <w:t xml:space="preserve"> </w:t>
      </w:r>
      <w:r w:rsidRPr="0464CF35">
        <w:rPr>
          <w:rFonts w:eastAsia="Arial" w:cs="Arial"/>
          <w:szCs w:val="22"/>
        </w:rPr>
        <w:t>in-query</w:t>
      </w:r>
      <w:r>
        <w:rPr>
          <w:color w:val="000000" w:themeColor="text1"/>
        </w:rPr>
        <w:t>" means "query". If yes, the query parameter names and values are included in the "</w:t>
      </w:r>
      <w:proofErr w:type="spellStart"/>
      <w:r w:rsidRPr="0464CF35">
        <w:rPr>
          <w:rFonts w:eastAsia="Arial" w:cs="Arial"/>
          <w:szCs w:val="22"/>
        </w:rPr>
        <w:t>queryFragment</w:t>
      </w:r>
      <w:proofErr w:type="spellEnd"/>
      <w:r>
        <w:rPr>
          <w:color w:val="000000" w:themeColor="text1"/>
        </w:rPr>
        <w:t xml:space="preserve">" component of the </w:t>
      </w:r>
      <w:r w:rsidRPr="0464CF35">
        <w:rPr>
          <w:rFonts w:eastAsia="Arial" w:cs="Arial"/>
          <w:szCs w:val="22"/>
        </w:rPr>
        <w:t>"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Pr="0464CF35">
        <w:rPr>
          <w:rFonts w:eastAsia="Arial" w:cs="Arial"/>
          <w:szCs w:val="22"/>
        </w:rPr>
        <w:t>"</w:t>
      </w:r>
      <w:r>
        <w:rPr>
          <w:rFonts w:eastAsia="Arial" w:cs="Arial"/>
          <w:szCs w:val="22"/>
        </w:rPr>
        <w:t>.</w:t>
      </w:r>
    </w:p>
    <w:p w14:paraId="49BF4D0E" w14:textId="4AFBDD9D" w:rsidR="00394349" w:rsidRDefault="00394349" w:rsidP="00394349">
      <w:pPr>
        <w:jc w:val="both"/>
        <w:rPr>
          <w:color w:val="000000" w:themeColor="text1"/>
        </w:rPr>
      </w:pPr>
    </w:p>
    <w:p w14:paraId="7B7300CB" w14:textId="0C2E1534" w:rsidR="00394349" w:rsidRPr="00F63BD8" w:rsidRDefault="00394349" w:rsidP="00394349">
      <w:pPr>
        <w:rPr>
          <w:rFonts w:ascii="Courier New" w:eastAsia="Courier New" w:hAnsi="Courier New" w:cs="Courier New"/>
          <w:b/>
          <w:bCs/>
          <w:sz w:val="18"/>
          <w:szCs w:val="18"/>
        </w:rPr>
      </w:pPr>
      <w:r w:rsidRPr="0464CF35">
        <w:rPr>
          <w:rFonts w:eastAsia="Arial" w:cs="Arial"/>
          <w:szCs w:val="22"/>
        </w:rPr>
        <w:t xml:space="preserve">Q2: </w:t>
      </w:r>
      <w:r w:rsidRPr="00394349">
        <w:rPr>
          <w:rFonts w:eastAsia="Arial" w:cs="Arial"/>
          <w:szCs w:val="22"/>
        </w:rPr>
        <w:t xml:space="preserve">While some 5G APIs encode parameter values inside the path component of the </w:t>
      </w:r>
      <w:r w:rsidR="00BD2439">
        <w:rPr>
          <w:color w:val="000000" w:themeColor="text1"/>
        </w:rPr>
        <w:t>"</w:t>
      </w:r>
      <w:proofErr w:type="spellStart"/>
      <w:r w:rsidRPr="00394349">
        <w:rPr>
          <w:rFonts w:eastAsia="Arial" w:cs="Arial"/>
          <w:szCs w:val="22"/>
        </w:rPr>
        <w:t>RequestLine</w:t>
      </w:r>
      <w:proofErr w:type="spellEnd"/>
      <w:r w:rsidR="00BD2439">
        <w:rPr>
          <w:color w:val="000000" w:themeColor="text1"/>
        </w:rPr>
        <w:t>"</w:t>
      </w:r>
      <w:r w:rsidRPr="00394349">
        <w:rPr>
          <w:rFonts w:eastAsia="Arial" w:cs="Arial"/>
          <w:szCs w:val="22"/>
        </w:rPr>
        <w:t xml:space="preserve"> field</w:t>
      </w:r>
      <w:r w:rsidRPr="00F63BD8">
        <w:rPr>
          <w:rFonts w:eastAsia="Arial" w:cs="Arial"/>
          <w:szCs w:val="22"/>
        </w:rPr>
        <w:t xml:space="preserve">, others encode parameter names and values “in-query”, i.e. after the URI path. For example, while Annex A.3 of TS 29.503 specifies in-path parameter values in the URI </w:t>
      </w:r>
    </w:p>
    <w:p w14:paraId="05F2753E" w14:textId="77777777" w:rsidR="00394349" w:rsidRPr="00F63BD8" w:rsidRDefault="00394349" w:rsidP="00394349">
      <w:pPr>
        <w:jc w:val="center"/>
        <w:rPr>
          <w:rFonts w:ascii="Courier New" w:eastAsia="Courier New" w:hAnsi="Courier New" w:cs="Courier New"/>
          <w:b/>
          <w:bCs/>
          <w:sz w:val="18"/>
          <w:szCs w:val="18"/>
        </w:rPr>
      </w:pPr>
      <w:r w:rsidRPr="00F63BD8">
        <w:rPr>
          <w:rFonts w:ascii="Courier New" w:eastAsia="Courier New" w:hAnsi="Courier New" w:cs="Courier New"/>
          <w:b/>
          <w:bCs/>
          <w:sz w:val="18"/>
          <w:szCs w:val="18"/>
        </w:rPr>
        <w:t>{apiRoot}/nudm-uecm/</w:t>
      </w:r>
      <w:r w:rsidRPr="00B94BD3">
        <w:rPr>
          <w:rFonts w:ascii="Courier New" w:eastAsia="Courier New" w:hAnsi="Courier New" w:cs="Courier New"/>
          <w:b/>
          <w:bCs/>
          <w:sz w:val="18"/>
          <w:szCs w:val="18"/>
        </w:rPr>
        <w:t>v1/{ueId}/registrations/smf-registrations/{pduSessionId},</w:t>
      </w:r>
    </w:p>
    <w:p w14:paraId="41888AFD" w14:textId="61880454" w:rsidR="00394349" w:rsidRDefault="00394349" w:rsidP="00394349">
      <w:pPr>
        <w:spacing w:line="259" w:lineRule="auto"/>
        <w:rPr>
          <w:rFonts w:eastAsia="Arial" w:cs="Arial"/>
          <w:szCs w:val="22"/>
        </w:rPr>
      </w:pPr>
      <w:r w:rsidRPr="00F63BD8">
        <w:rPr>
          <w:rFonts w:eastAsia="Arial" w:cs="Arial"/>
          <w:szCs w:val="22"/>
        </w:rPr>
        <w:t xml:space="preserve">Annex A.2 of TS 29.510 (also see clause 5.3.2.2.5) defines multiple query parameters for the GET method on URI </w:t>
      </w:r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{</w:t>
      </w:r>
      <w:proofErr w:type="spellStart"/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apiRoot</w:t>
      </w:r>
      <w:proofErr w:type="spellEnd"/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}/</w:t>
      </w:r>
      <w:proofErr w:type="spellStart"/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nnrf</w:t>
      </w:r>
      <w:proofErr w:type="spellEnd"/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-disc/v1/</w:t>
      </w:r>
      <w:proofErr w:type="spellStart"/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nf</w:t>
      </w:r>
      <w:proofErr w:type="spellEnd"/>
      <w:r w:rsidRPr="00394349">
        <w:rPr>
          <w:rFonts w:ascii="Courier New" w:eastAsia="Courier New" w:hAnsi="Courier New" w:cs="Courier New"/>
          <w:b/>
          <w:bCs/>
          <w:sz w:val="18"/>
          <w:szCs w:val="18"/>
        </w:rPr>
        <w:t>-instances.</w:t>
      </w:r>
      <w:r w:rsidRPr="00394349">
        <w:rPr>
          <w:rFonts w:eastAsia="Arial" w:cs="Arial"/>
          <w:szCs w:val="22"/>
        </w:rPr>
        <w:t xml:space="preserve"> One of these parameters is the SUPI.</w:t>
      </w:r>
      <w:r w:rsidRPr="0464CF35">
        <w:rPr>
          <w:rFonts w:eastAsia="Arial" w:cs="Arial"/>
          <w:szCs w:val="22"/>
        </w:rPr>
        <w:t xml:space="preserve"> </w:t>
      </w:r>
    </w:p>
    <w:p w14:paraId="2E48DFFB" w14:textId="77777777" w:rsidR="00394349" w:rsidRDefault="00394349" w:rsidP="00394349">
      <w:pPr>
        <w:spacing w:line="259" w:lineRule="auto"/>
        <w:rPr>
          <w:rFonts w:eastAsia="Arial" w:cs="Arial"/>
          <w:szCs w:val="22"/>
        </w:rPr>
      </w:pPr>
      <w:r w:rsidRPr="00394349">
        <w:rPr>
          <w:rFonts w:eastAsia="Arial" w:cs="Arial"/>
          <w:szCs w:val="22"/>
        </w:rPr>
        <w:t>In the above examples, the UEID and the SUPI are potentially sensitive according to Table 6.1.5.3.5-1 in TS 29.573</w:t>
      </w:r>
      <w:r w:rsidRPr="0464CF35">
        <w:rPr>
          <w:rFonts w:eastAsia="Arial" w:cs="Arial"/>
          <w:szCs w:val="22"/>
        </w:rPr>
        <w:t xml:space="preserve">. However, it appears that a </w:t>
      </w:r>
      <w:bookmarkStart w:id="7" w:name="_Hlk157586547"/>
      <w:r w:rsidRPr="0464CF35">
        <w:rPr>
          <w:rFonts w:eastAsia="Arial" w:cs="Arial"/>
          <w:szCs w:val="22"/>
        </w:rPr>
        <w:t>“</w:t>
      </w:r>
      <w:proofErr w:type="spellStart"/>
      <w:r w:rsidRPr="0464CF35">
        <w:rPr>
          <w:rFonts w:eastAsia="Arial" w:cs="Arial"/>
          <w:szCs w:val="22"/>
        </w:rPr>
        <w:t>DataTypeEncPolicy</w:t>
      </w:r>
      <w:proofErr w:type="spellEnd"/>
      <w:r w:rsidRPr="0464CF35">
        <w:rPr>
          <w:rFonts w:eastAsia="Arial" w:cs="Arial"/>
          <w:szCs w:val="22"/>
        </w:rPr>
        <w:t>” policy</w:t>
      </w:r>
      <w:bookmarkEnd w:id="7"/>
      <w:r w:rsidRPr="0464CF35">
        <w:rPr>
          <w:rFonts w:eastAsia="Arial" w:cs="Arial"/>
          <w:szCs w:val="22"/>
        </w:rPr>
        <w:t xml:space="preserve"> that includes “UEID” as one of the sensitive data types would have no effect on </w:t>
      </w:r>
      <w:bookmarkStart w:id="8" w:name="_Hlk157586567"/>
      <w:r w:rsidRPr="0464CF35">
        <w:rPr>
          <w:rFonts w:eastAsia="Arial" w:cs="Arial"/>
          <w:szCs w:val="22"/>
        </w:rPr>
        <w:t>the copy of the UEID or SUPI included in the “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Pr="0464CF35">
        <w:rPr>
          <w:rFonts w:eastAsia="Arial" w:cs="Arial"/>
          <w:szCs w:val="22"/>
        </w:rPr>
        <w:t>”</w:t>
      </w:r>
      <w:bookmarkEnd w:id="8"/>
      <w:r w:rsidRPr="0464CF35">
        <w:rPr>
          <w:rFonts w:eastAsia="Arial" w:cs="Arial"/>
          <w:szCs w:val="22"/>
        </w:rPr>
        <w:t xml:space="preserve"> because there appears to be no provision for encrypting the “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Pr="0464CF35">
        <w:rPr>
          <w:rFonts w:eastAsia="Arial" w:cs="Arial"/>
          <w:szCs w:val="22"/>
        </w:rPr>
        <w:t xml:space="preserve">” either entirely or any of its components. Is this observation correct? How to ensure that </w:t>
      </w:r>
      <w:r w:rsidRPr="0464CF35">
        <w:rPr>
          <w:rFonts w:eastAsia="Arial" w:cs="Arial"/>
          <w:i/>
          <w:iCs/>
          <w:szCs w:val="22"/>
        </w:rPr>
        <w:t xml:space="preserve">all </w:t>
      </w:r>
      <w:r w:rsidRPr="0464CF35">
        <w:rPr>
          <w:rFonts w:eastAsia="Arial" w:cs="Arial"/>
          <w:szCs w:val="22"/>
        </w:rPr>
        <w:t>copies of sensitive information elements, including those encoded in “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Pr="0464CF35">
        <w:rPr>
          <w:rFonts w:eastAsia="Arial" w:cs="Arial"/>
          <w:szCs w:val="22"/>
        </w:rPr>
        <w:t>”, are covered by a given “</w:t>
      </w:r>
      <w:proofErr w:type="spellStart"/>
      <w:r w:rsidRPr="0464CF35">
        <w:rPr>
          <w:rFonts w:eastAsia="Arial" w:cs="Arial"/>
          <w:szCs w:val="22"/>
        </w:rPr>
        <w:t>DataTypeEncPolicy</w:t>
      </w:r>
      <w:proofErr w:type="spellEnd"/>
      <w:r w:rsidRPr="0464CF35">
        <w:rPr>
          <w:rFonts w:eastAsia="Arial" w:cs="Arial"/>
          <w:szCs w:val="22"/>
        </w:rPr>
        <w:t>” policy?</w:t>
      </w:r>
    </w:p>
    <w:p w14:paraId="3A80260E" w14:textId="77777777" w:rsidR="00BC0F42" w:rsidRDefault="00394349" w:rsidP="00394349">
      <w:pPr>
        <w:jc w:val="both"/>
        <w:rPr>
          <w:rFonts w:eastAsia="Arial" w:cs="Arial"/>
          <w:szCs w:val="22"/>
        </w:rPr>
      </w:pPr>
      <w:r>
        <w:rPr>
          <w:color w:val="000000" w:themeColor="text1"/>
        </w:rPr>
        <w:t xml:space="preserve">Reply2: </w:t>
      </w:r>
      <w:r w:rsidR="00E30CA7">
        <w:rPr>
          <w:color w:val="000000" w:themeColor="text1"/>
        </w:rPr>
        <w:t xml:space="preserve">Currently, two methods supported </w:t>
      </w:r>
      <w:r w:rsidR="00BC0F42" w:rsidRPr="0464CF35">
        <w:rPr>
          <w:rFonts w:eastAsia="Arial" w:cs="Arial"/>
          <w:szCs w:val="22"/>
        </w:rPr>
        <w:t>for encrypting</w:t>
      </w:r>
      <w:r w:rsidR="00BC0F42">
        <w:rPr>
          <w:rFonts w:eastAsia="Arial" w:cs="Arial"/>
          <w:szCs w:val="22"/>
        </w:rPr>
        <w:t xml:space="preserve"> of the </w:t>
      </w:r>
      <w:r w:rsidR="00BC0F42" w:rsidRPr="0464CF35">
        <w:rPr>
          <w:rFonts w:eastAsia="Arial" w:cs="Arial"/>
          <w:szCs w:val="22"/>
        </w:rPr>
        <w:t>components</w:t>
      </w:r>
      <w:r w:rsidR="00BC0F42">
        <w:rPr>
          <w:rFonts w:eastAsia="Arial" w:cs="Arial"/>
          <w:szCs w:val="22"/>
        </w:rPr>
        <w:t xml:space="preserve"> of URI:</w:t>
      </w:r>
    </w:p>
    <w:p w14:paraId="2359C93C" w14:textId="77777777" w:rsidR="00BC0F42" w:rsidRPr="00BC0F42" w:rsidRDefault="00BC0F42" w:rsidP="00BC0F42">
      <w:pPr>
        <w:pStyle w:val="afff"/>
        <w:numPr>
          <w:ilvl w:val="0"/>
          <w:numId w:val="11"/>
        </w:numPr>
        <w:jc w:val="both"/>
        <w:rPr>
          <w:rFonts w:eastAsia="Arial" w:cs="Arial"/>
          <w:szCs w:val="22"/>
        </w:rPr>
      </w:pPr>
      <w:r>
        <w:rPr>
          <w:color w:val="000000" w:themeColor="text1"/>
        </w:rPr>
        <w:t>Q</w:t>
      </w:r>
      <w:r>
        <w:rPr>
          <w:color w:val="000000" w:themeColor="text1"/>
        </w:rPr>
        <w:t>uery parameter</w:t>
      </w:r>
      <w:r>
        <w:rPr>
          <w:color w:val="000000" w:themeColor="text1"/>
        </w:rPr>
        <w:t>s in the URI</w:t>
      </w:r>
      <w:r w:rsidR="00E30CA7" w:rsidRPr="00BC0F42">
        <w:rPr>
          <w:color w:val="000000" w:themeColor="text1"/>
        </w:rPr>
        <w:t xml:space="preserve"> </w:t>
      </w:r>
      <w:r w:rsidRPr="00BC0F42">
        <w:rPr>
          <w:color w:val="000000" w:themeColor="text1"/>
        </w:rPr>
        <w:t>can be encrypted by setting "</w:t>
      </w:r>
      <w:proofErr w:type="spellStart"/>
      <w:r w:rsidRPr="00BC0F42">
        <w:rPr>
          <w:color w:val="000000" w:themeColor="text1"/>
        </w:rPr>
        <w:t>ieLoc</w:t>
      </w:r>
      <w:proofErr w:type="spellEnd"/>
      <w:r w:rsidRPr="00BC0F42">
        <w:rPr>
          <w:color w:val="000000" w:themeColor="text1"/>
        </w:rPr>
        <w:t xml:space="preserve">" as </w:t>
      </w:r>
      <w:r w:rsidRPr="00BC0F42">
        <w:rPr>
          <w:rFonts w:hint="eastAsia"/>
          <w:color w:val="000000" w:themeColor="text1"/>
        </w:rPr>
        <w:t>"</w:t>
      </w:r>
      <w:r w:rsidRPr="00BC0F42">
        <w:rPr>
          <w:color w:val="000000" w:themeColor="text1"/>
        </w:rPr>
        <w:t>URI_PARAM</w:t>
      </w:r>
      <w:r w:rsidRPr="00BC0F42">
        <w:rPr>
          <w:rFonts w:hint="eastAsia"/>
          <w:color w:val="000000" w:themeColor="text1"/>
        </w:rPr>
        <w:t>"</w:t>
      </w:r>
      <w:r w:rsidRPr="00BC0F42">
        <w:rPr>
          <w:color w:val="000000" w:themeColor="text1"/>
        </w:rPr>
        <w:t>, "</w:t>
      </w:r>
      <w:proofErr w:type="spellStart"/>
      <w:r w:rsidRPr="00BC0F42">
        <w:rPr>
          <w:color w:val="000000" w:themeColor="text1"/>
        </w:rPr>
        <w:t>ieType</w:t>
      </w:r>
      <w:proofErr w:type="spellEnd"/>
      <w:r w:rsidRPr="00BC0F42">
        <w:rPr>
          <w:color w:val="000000" w:themeColor="text1"/>
        </w:rPr>
        <w:t>" as "UEID", and "</w:t>
      </w:r>
      <w:proofErr w:type="spellStart"/>
      <w:r w:rsidRPr="00BC0F42">
        <w:rPr>
          <w:color w:val="000000" w:themeColor="text1"/>
        </w:rPr>
        <w:t>req</w:t>
      </w:r>
      <w:r w:rsidRPr="00BC0F42">
        <w:rPr>
          <w:color w:val="000000" w:themeColor="text1"/>
        </w:rPr>
        <w:t>I</w:t>
      </w:r>
      <w:r w:rsidRPr="00BC0F42">
        <w:rPr>
          <w:color w:val="000000" w:themeColor="text1"/>
        </w:rPr>
        <w:t>e</w:t>
      </w:r>
      <w:proofErr w:type="spellEnd"/>
      <w:r w:rsidRPr="00BC0F42">
        <w:rPr>
          <w:color w:val="000000" w:themeColor="text1"/>
        </w:rPr>
        <w:t xml:space="preserve">" as the </w:t>
      </w:r>
      <w:proofErr w:type="spellStart"/>
      <w:r w:rsidRPr="00BC0F42">
        <w:rPr>
          <w:color w:val="000000" w:themeColor="text1"/>
        </w:rPr>
        <w:t>t</w:t>
      </w:r>
      <w:r w:rsidRPr="00BC0F42">
        <w:rPr>
          <w:color w:val="000000" w:themeColor="text1"/>
        </w:rPr>
        <w:t>he</w:t>
      </w:r>
      <w:proofErr w:type="spellEnd"/>
      <w:r w:rsidRPr="00BC0F42">
        <w:rPr>
          <w:color w:val="000000" w:themeColor="text1"/>
        </w:rPr>
        <w:t xml:space="preserve"> name of the URI query attribute to be protected</w:t>
      </w:r>
      <w:r w:rsidRPr="00BC0F42">
        <w:rPr>
          <w:color w:val="000000" w:themeColor="text1"/>
        </w:rPr>
        <w:t>.</w:t>
      </w:r>
    </w:p>
    <w:p w14:paraId="6E6067F9" w14:textId="563A34D1" w:rsidR="00BC0F42" w:rsidRPr="00BC0F42" w:rsidRDefault="00BC0F42" w:rsidP="00BC0F42">
      <w:pPr>
        <w:pStyle w:val="afff"/>
        <w:numPr>
          <w:ilvl w:val="0"/>
          <w:numId w:val="11"/>
        </w:numPr>
        <w:jc w:val="both"/>
        <w:rPr>
          <w:rFonts w:eastAsia="Arial" w:cs="Arial"/>
          <w:szCs w:val="22"/>
        </w:rPr>
      </w:pPr>
      <w:r>
        <w:rPr>
          <w:color w:val="000000" w:themeColor="text1"/>
        </w:rPr>
        <w:lastRenderedPageBreak/>
        <w:t xml:space="preserve">The entire URI can be </w:t>
      </w:r>
      <w:r w:rsidRPr="00BC0F42">
        <w:rPr>
          <w:color w:val="000000" w:themeColor="text1"/>
        </w:rPr>
        <w:t>encrypted by setting "</w:t>
      </w:r>
      <w:proofErr w:type="spellStart"/>
      <w:r w:rsidRPr="00BC0F42">
        <w:rPr>
          <w:color w:val="000000" w:themeColor="text1"/>
        </w:rPr>
        <w:t>ieLoc</w:t>
      </w:r>
      <w:proofErr w:type="spellEnd"/>
      <w:r w:rsidRPr="00BC0F42">
        <w:rPr>
          <w:color w:val="000000" w:themeColor="text1"/>
        </w:rPr>
        <w:t xml:space="preserve">" as </w:t>
      </w:r>
      <w:r w:rsidRPr="00BC0F42">
        <w:rPr>
          <w:rFonts w:eastAsia="Arial" w:cs="Arial"/>
          <w:szCs w:val="22"/>
        </w:rPr>
        <w:t>"HEADER"</w:t>
      </w:r>
      <w:r w:rsidRPr="00BC0F42">
        <w:rPr>
          <w:color w:val="000000" w:themeColor="text1"/>
        </w:rPr>
        <w:t>, "</w:t>
      </w:r>
      <w:proofErr w:type="spellStart"/>
      <w:r w:rsidRPr="00BC0F42">
        <w:rPr>
          <w:color w:val="000000" w:themeColor="text1"/>
        </w:rPr>
        <w:t>ieType</w:t>
      </w:r>
      <w:proofErr w:type="spellEnd"/>
      <w:r w:rsidRPr="00BC0F42">
        <w:rPr>
          <w:color w:val="000000" w:themeColor="text1"/>
        </w:rPr>
        <w:t>" as "UEID", and "</w:t>
      </w:r>
      <w:proofErr w:type="spellStart"/>
      <w:r w:rsidRPr="00BC0F42">
        <w:rPr>
          <w:color w:val="000000" w:themeColor="text1"/>
        </w:rPr>
        <w:t>reqIe</w:t>
      </w:r>
      <w:proofErr w:type="spellEnd"/>
      <w:r w:rsidRPr="00BC0F42">
        <w:rPr>
          <w:color w:val="000000" w:themeColor="text1"/>
        </w:rPr>
        <w:t>" as the name of the HTTP header to be protected</w:t>
      </w:r>
      <w:r>
        <w:rPr>
          <w:color w:val="000000" w:themeColor="text1"/>
        </w:rPr>
        <w:t>.</w:t>
      </w:r>
    </w:p>
    <w:p w14:paraId="16C9074E" w14:textId="3929EC57" w:rsidR="00934832" w:rsidRDefault="00934832" w:rsidP="00394349">
      <w:pPr>
        <w:jc w:val="both"/>
        <w:rPr>
          <w:rFonts w:eastAsia="Arial" w:cs="Arial"/>
          <w:szCs w:val="22"/>
        </w:rPr>
      </w:pPr>
    </w:p>
    <w:p w14:paraId="0A6734F3" w14:textId="1CCA45D9" w:rsidR="00934832" w:rsidRDefault="00934832" w:rsidP="00934832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Q3: Similar as above, a given parameter value encoded as a path component may need to be modifiable by an intermediary, e.g. an IPX provider. How to indicate such a policy and what are the relevant PRINS processing rules? (Note that, while the "</w:t>
      </w:r>
      <w:proofErr w:type="spellStart"/>
      <w:r w:rsidRPr="0464CF35">
        <w:rPr>
          <w:rFonts w:eastAsia="Arial" w:cs="Arial"/>
          <w:szCs w:val="22"/>
        </w:rPr>
        <w:t>IeLocation</w:t>
      </w:r>
      <w:proofErr w:type="spellEnd"/>
      <w:r w:rsidRPr="0464CF35">
        <w:rPr>
          <w:rFonts w:eastAsia="Arial" w:cs="Arial"/>
          <w:szCs w:val="22"/>
        </w:rPr>
        <w:t xml:space="preserve">" structure, Table 6.1.5.3.6-1, contains a provision for “URI_PARAM”, it contains no provision for the </w:t>
      </w:r>
      <w:bookmarkStart w:id="9" w:name="_Hlk157587192"/>
      <w:r w:rsidRPr="0464CF35">
        <w:rPr>
          <w:rFonts w:eastAsia="Arial" w:cs="Arial"/>
          <w:szCs w:val="22"/>
        </w:rPr>
        <w:t>"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Pr="0464CF35">
        <w:rPr>
          <w:rFonts w:eastAsia="Arial" w:cs="Arial"/>
          <w:szCs w:val="22"/>
        </w:rPr>
        <w:t>” path component</w:t>
      </w:r>
      <w:bookmarkEnd w:id="9"/>
      <w:r w:rsidRPr="0464CF35">
        <w:rPr>
          <w:rFonts w:eastAsia="Arial" w:cs="Arial"/>
          <w:szCs w:val="22"/>
        </w:rPr>
        <w:t>.)</w:t>
      </w:r>
    </w:p>
    <w:p w14:paraId="16E6694E" w14:textId="7301DEF9" w:rsidR="00934832" w:rsidRDefault="00934832" w:rsidP="00934832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Reply3: </w:t>
      </w:r>
      <w:r w:rsidR="00765B14">
        <w:rPr>
          <w:rFonts w:eastAsia="Arial" w:cs="Arial"/>
          <w:szCs w:val="22"/>
        </w:rPr>
        <w:t xml:space="preserve">Attributes </w:t>
      </w:r>
      <w:r w:rsidR="00F17EED">
        <w:rPr>
          <w:rFonts w:eastAsia="Arial" w:cs="Arial"/>
          <w:szCs w:val="22"/>
        </w:rPr>
        <w:t>in the path</w:t>
      </w:r>
      <w:r w:rsidR="00765B14">
        <w:rPr>
          <w:rFonts w:eastAsia="Arial" w:cs="Arial"/>
          <w:szCs w:val="22"/>
        </w:rPr>
        <w:t xml:space="preserve"> </w:t>
      </w:r>
      <w:r w:rsidR="00F17EED" w:rsidRPr="0464CF35">
        <w:rPr>
          <w:rFonts w:eastAsia="Arial" w:cs="Arial"/>
          <w:szCs w:val="22"/>
        </w:rPr>
        <w:t>component</w:t>
      </w:r>
      <w:r w:rsidR="00F17EED">
        <w:rPr>
          <w:rFonts w:eastAsia="Arial" w:cs="Arial"/>
          <w:szCs w:val="22"/>
        </w:rPr>
        <w:t xml:space="preserve"> </w:t>
      </w:r>
      <w:r w:rsidR="00765B14">
        <w:rPr>
          <w:rFonts w:eastAsia="Arial" w:cs="Arial"/>
          <w:szCs w:val="22"/>
        </w:rPr>
        <w:t xml:space="preserve">are defined in the HTTP header, referring to clause 8.1.2.3 </w:t>
      </w:r>
      <w:r w:rsidR="005A398F">
        <w:rPr>
          <w:rFonts w:eastAsia="Arial" w:cs="Arial"/>
          <w:szCs w:val="22"/>
        </w:rPr>
        <w:t xml:space="preserve">of </w:t>
      </w:r>
      <w:r w:rsidR="00765B14">
        <w:rPr>
          <w:rFonts w:eastAsia="Arial" w:cs="Arial"/>
          <w:szCs w:val="22"/>
        </w:rPr>
        <w:t>RFC 7540. Therefore, the "</w:t>
      </w:r>
      <w:proofErr w:type="spellStart"/>
      <w:r w:rsidR="00765B14" w:rsidRPr="0464CF35">
        <w:rPr>
          <w:rFonts w:eastAsia="Arial" w:cs="Arial"/>
          <w:szCs w:val="22"/>
        </w:rPr>
        <w:t>IeLocation</w:t>
      </w:r>
      <w:proofErr w:type="spellEnd"/>
      <w:r w:rsidR="00765B14">
        <w:rPr>
          <w:rFonts w:eastAsia="Arial" w:cs="Arial"/>
          <w:szCs w:val="22"/>
        </w:rPr>
        <w:t xml:space="preserve">" </w:t>
      </w:r>
      <w:r w:rsidR="00765B14" w:rsidRPr="0464CF35">
        <w:rPr>
          <w:rFonts w:eastAsia="Arial" w:cs="Arial"/>
          <w:szCs w:val="22"/>
        </w:rPr>
        <w:t>structure</w:t>
      </w:r>
      <w:r w:rsidR="00765B14">
        <w:rPr>
          <w:rFonts w:eastAsia="Arial" w:cs="Arial"/>
          <w:szCs w:val="22"/>
        </w:rPr>
        <w:t xml:space="preserve"> contains a provision</w:t>
      </w:r>
      <w:r w:rsidR="00A46FCF">
        <w:rPr>
          <w:rFonts w:eastAsia="Arial" w:cs="Arial"/>
          <w:szCs w:val="22"/>
        </w:rPr>
        <w:t xml:space="preserve"> </w:t>
      </w:r>
      <w:r w:rsidR="00765B14">
        <w:rPr>
          <w:rFonts w:eastAsia="Arial" w:cs="Arial"/>
          <w:szCs w:val="22"/>
        </w:rPr>
        <w:t>for the "</w:t>
      </w:r>
      <w:proofErr w:type="spellStart"/>
      <w:r w:rsidR="00765B14" w:rsidRPr="0464CF35">
        <w:rPr>
          <w:rFonts w:eastAsia="Arial" w:cs="Arial"/>
          <w:szCs w:val="22"/>
        </w:rPr>
        <w:t>RequestLine</w:t>
      </w:r>
      <w:proofErr w:type="spellEnd"/>
      <w:r w:rsidR="00765B14">
        <w:rPr>
          <w:rFonts w:eastAsia="Arial" w:cs="Arial"/>
          <w:szCs w:val="22"/>
        </w:rPr>
        <w:t xml:space="preserve">" </w:t>
      </w:r>
      <w:r w:rsidR="00765B14" w:rsidRPr="0464CF35">
        <w:rPr>
          <w:rFonts w:eastAsia="Arial" w:cs="Arial"/>
          <w:szCs w:val="22"/>
        </w:rPr>
        <w:t>path component</w:t>
      </w:r>
      <w:r w:rsidR="00A46FCF">
        <w:rPr>
          <w:rFonts w:eastAsia="Arial" w:cs="Arial"/>
          <w:szCs w:val="22"/>
        </w:rPr>
        <w:t>, and the enumeration value of which is "HEADER"</w:t>
      </w:r>
      <w:r w:rsidR="00765B14">
        <w:rPr>
          <w:rFonts w:eastAsia="Arial" w:cs="Arial"/>
          <w:szCs w:val="22"/>
        </w:rPr>
        <w:t>.</w:t>
      </w:r>
    </w:p>
    <w:p w14:paraId="185C9781" w14:textId="77777777" w:rsidR="00934832" w:rsidRDefault="00934832" w:rsidP="00394349">
      <w:pPr>
        <w:jc w:val="both"/>
        <w:rPr>
          <w:rFonts w:eastAsia="Arial" w:cs="Arial"/>
          <w:szCs w:val="22"/>
        </w:rPr>
      </w:pPr>
      <w:bookmarkStart w:id="10" w:name="_GoBack"/>
      <w:bookmarkEnd w:id="10"/>
    </w:p>
    <w:p w14:paraId="47601A4B" w14:textId="16F6B67A" w:rsidR="00913E61" w:rsidRDefault="00913E61" w:rsidP="00913E6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00B5F1" w14:textId="09401B74" w:rsidR="00913E61" w:rsidRPr="000F4E43" w:rsidRDefault="00913E61" w:rsidP="00913E6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13E61">
        <w:rPr>
          <w:rFonts w:ascii="Arial" w:hAnsi="Arial" w:cs="Arial"/>
          <w:b/>
        </w:rPr>
        <w:t>GSMA</w:t>
      </w:r>
      <w:r w:rsidRPr="000F4E43">
        <w:rPr>
          <w:rFonts w:ascii="Arial" w:hAnsi="Arial" w:cs="Arial"/>
          <w:b/>
        </w:rPr>
        <w:t xml:space="preserve"> group.</w:t>
      </w:r>
    </w:p>
    <w:p w14:paraId="28F65EF1" w14:textId="7CED4944" w:rsidR="00931BAD" w:rsidRPr="007A60CD" w:rsidRDefault="00B97703" w:rsidP="007A60CD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D60CDD">
        <w:rPr>
          <w:rFonts w:ascii="Arial" w:hAnsi="Arial" w:cs="Arial"/>
          <w:color w:val="000000" w:themeColor="text1"/>
        </w:rPr>
        <w:t>CT4</w:t>
      </w:r>
      <w:r w:rsidR="0060451D" w:rsidRPr="00CE2C29">
        <w:rPr>
          <w:rFonts w:ascii="Arial" w:hAnsi="Arial" w:cs="Arial"/>
          <w:color w:val="000000" w:themeColor="text1"/>
        </w:rPr>
        <w:t xml:space="preserve"> kindly asks </w:t>
      </w:r>
      <w:r w:rsidR="00D60CDD">
        <w:rPr>
          <w:rFonts w:ascii="Arial" w:hAnsi="Arial" w:cs="Arial"/>
          <w:color w:val="000000" w:themeColor="text1"/>
        </w:rPr>
        <w:t>GSMA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FA6E1A">
        <w:rPr>
          <w:rFonts w:ascii="Arial" w:hAnsi="Arial" w:cs="Arial"/>
          <w:color w:val="000000" w:themeColor="text1"/>
        </w:rPr>
        <w:t xml:space="preserve"> </w:t>
      </w:r>
      <w:r w:rsidR="007A60CD">
        <w:rPr>
          <w:rFonts w:ascii="Arial" w:hAnsi="Arial" w:cs="Arial"/>
          <w:color w:val="000000" w:themeColor="text1"/>
        </w:rPr>
        <w:t>take the above</w:t>
      </w:r>
      <w:r w:rsidR="004048F6">
        <w:rPr>
          <w:rFonts w:ascii="Arial" w:hAnsi="Arial" w:cs="Arial"/>
          <w:color w:val="000000" w:themeColor="text1"/>
        </w:rPr>
        <w:t xml:space="preserve"> information</w:t>
      </w:r>
      <w:r w:rsidR="007A60CD">
        <w:rPr>
          <w:rFonts w:ascii="Arial" w:hAnsi="Arial" w:cs="Arial"/>
          <w:color w:val="000000" w:themeColor="text1"/>
        </w:rPr>
        <w:t xml:space="preserve"> into consideratio</w:t>
      </w:r>
      <w:r w:rsidR="004048F6">
        <w:rPr>
          <w:rFonts w:ascii="Arial" w:hAnsi="Arial" w:cs="Arial"/>
          <w:color w:val="000000" w:themeColor="text1"/>
        </w:rPr>
        <w:t>n</w:t>
      </w:r>
      <w:r w:rsidR="00C66932">
        <w:rPr>
          <w:rFonts w:ascii="Arial" w:hAnsi="Arial" w:cs="Arial"/>
          <w:color w:val="000000" w:themeColor="text1"/>
          <w:lang w:eastAsia="zh-CN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32B0D3CE" w14:textId="77777777" w:rsidR="00913E61" w:rsidRPr="000F4E43" w:rsidRDefault="00913E61" w:rsidP="00913E6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4BA62BF" w14:textId="77777777" w:rsidR="00913E61" w:rsidRDefault="00913E61" w:rsidP="00913E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3D6B1C38" w14:textId="77777777" w:rsidR="00913E61" w:rsidRDefault="002C2543" w:rsidP="00913E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913E61">
          <w:rPr>
            <w:rStyle w:val="af5"/>
            <w:rFonts w:cs="Arial"/>
            <w:bCs/>
          </w:rPr>
          <w:t>https://www.3gpp.org/dynareport?code=Meetings-C4.htm</w:t>
        </w:r>
      </w:hyperlink>
    </w:p>
    <w:p w14:paraId="054FEDCB" w14:textId="5D130693" w:rsidR="006052AD" w:rsidRPr="00074D3C" w:rsidRDefault="006052AD" w:rsidP="00F11FA8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AE72E" w14:textId="77777777" w:rsidR="002C2543" w:rsidRDefault="002C2543">
      <w:pPr>
        <w:spacing w:after="0"/>
      </w:pPr>
      <w:r>
        <w:separator/>
      </w:r>
    </w:p>
  </w:endnote>
  <w:endnote w:type="continuationSeparator" w:id="0">
    <w:p w14:paraId="00BF2737" w14:textId="77777777" w:rsidR="002C2543" w:rsidRDefault="002C25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22356" w14:textId="77777777" w:rsidR="002C2543" w:rsidRDefault="002C2543">
      <w:pPr>
        <w:spacing w:after="0"/>
      </w:pPr>
      <w:r>
        <w:separator/>
      </w:r>
    </w:p>
  </w:footnote>
  <w:footnote w:type="continuationSeparator" w:id="0">
    <w:p w14:paraId="1DFD860A" w14:textId="77777777" w:rsidR="002C2543" w:rsidRDefault="002C25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50E54AE"/>
    <w:multiLevelType w:val="hybridMultilevel"/>
    <w:tmpl w:val="AB461FAA"/>
    <w:lvl w:ilvl="0" w:tplc="126C188C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2637BD"/>
    <w:multiLevelType w:val="hybridMultilevel"/>
    <w:tmpl w:val="D348F0FC"/>
    <w:lvl w:ilvl="0" w:tplc="83C4565E">
      <w:start w:val="1"/>
      <w:numFmt w:val="decimal"/>
      <w:lvlText w:val="%1."/>
      <w:lvlJc w:val="left"/>
      <w:pPr>
        <w:ind w:left="360" w:hanging="360"/>
      </w:pPr>
      <w:rPr>
        <w:rFonts w:eastAsia="宋体" w:cs="Times New Roman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7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A3032"/>
    <w:rsid w:val="000B21DF"/>
    <w:rsid w:val="000C31CA"/>
    <w:rsid w:val="000C3D50"/>
    <w:rsid w:val="000D5B81"/>
    <w:rsid w:val="000E6116"/>
    <w:rsid w:val="000F6242"/>
    <w:rsid w:val="00103FF1"/>
    <w:rsid w:val="00114106"/>
    <w:rsid w:val="00117B76"/>
    <w:rsid w:val="0013277F"/>
    <w:rsid w:val="001669EA"/>
    <w:rsid w:val="00196B59"/>
    <w:rsid w:val="001A14F2"/>
    <w:rsid w:val="001A4358"/>
    <w:rsid w:val="001B3A86"/>
    <w:rsid w:val="001B43AE"/>
    <w:rsid w:val="001B763F"/>
    <w:rsid w:val="001C78A1"/>
    <w:rsid w:val="001D1947"/>
    <w:rsid w:val="001D43C9"/>
    <w:rsid w:val="001E061A"/>
    <w:rsid w:val="001F2FAF"/>
    <w:rsid w:val="0020233B"/>
    <w:rsid w:val="00220060"/>
    <w:rsid w:val="00226381"/>
    <w:rsid w:val="002402FB"/>
    <w:rsid w:val="0024509C"/>
    <w:rsid w:val="002473B2"/>
    <w:rsid w:val="002549C6"/>
    <w:rsid w:val="00261FEE"/>
    <w:rsid w:val="002869FE"/>
    <w:rsid w:val="002C2543"/>
    <w:rsid w:val="002D0884"/>
    <w:rsid w:val="002D34D5"/>
    <w:rsid w:val="002D6C3F"/>
    <w:rsid w:val="002E01C1"/>
    <w:rsid w:val="002E2AF4"/>
    <w:rsid w:val="002F1940"/>
    <w:rsid w:val="002F5CDC"/>
    <w:rsid w:val="00302B36"/>
    <w:rsid w:val="00322204"/>
    <w:rsid w:val="00323EA5"/>
    <w:rsid w:val="00324C57"/>
    <w:rsid w:val="00335D6B"/>
    <w:rsid w:val="003407B6"/>
    <w:rsid w:val="00354329"/>
    <w:rsid w:val="0036069A"/>
    <w:rsid w:val="003703CC"/>
    <w:rsid w:val="00374616"/>
    <w:rsid w:val="00383545"/>
    <w:rsid w:val="00392BB9"/>
    <w:rsid w:val="00394349"/>
    <w:rsid w:val="003B7601"/>
    <w:rsid w:val="003C06D2"/>
    <w:rsid w:val="003C2CAB"/>
    <w:rsid w:val="003F5176"/>
    <w:rsid w:val="003F5E20"/>
    <w:rsid w:val="0040074A"/>
    <w:rsid w:val="004048F6"/>
    <w:rsid w:val="004243D3"/>
    <w:rsid w:val="004255C5"/>
    <w:rsid w:val="00433500"/>
    <w:rsid w:val="00433F71"/>
    <w:rsid w:val="0043559E"/>
    <w:rsid w:val="004402A8"/>
    <w:rsid w:val="00440D43"/>
    <w:rsid w:val="00445BF9"/>
    <w:rsid w:val="00445CF6"/>
    <w:rsid w:val="00455DF3"/>
    <w:rsid w:val="00457497"/>
    <w:rsid w:val="00470DF6"/>
    <w:rsid w:val="00472BA5"/>
    <w:rsid w:val="0047545E"/>
    <w:rsid w:val="00487E1F"/>
    <w:rsid w:val="00495452"/>
    <w:rsid w:val="004A1215"/>
    <w:rsid w:val="004A643B"/>
    <w:rsid w:val="004B2C4B"/>
    <w:rsid w:val="004C1A9F"/>
    <w:rsid w:val="004E2962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6E1B"/>
    <w:rsid w:val="0058501E"/>
    <w:rsid w:val="00592467"/>
    <w:rsid w:val="005A398F"/>
    <w:rsid w:val="005B3E3E"/>
    <w:rsid w:val="005C16EC"/>
    <w:rsid w:val="00600BB0"/>
    <w:rsid w:val="0060451D"/>
    <w:rsid w:val="006052AD"/>
    <w:rsid w:val="00612B5F"/>
    <w:rsid w:val="006309B7"/>
    <w:rsid w:val="00630D19"/>
    <w:rsid w:val="006443C8"/>
    <w:rsid w:val="0065392A"/>
    <w:rsid w:val="00660980"/>
    <w:rsid w:val="00676A88"/>
    <w:rsid w:val="006B3FC7"/>
    <w:rsid w:val="006C11A3"/>
    <w:rsid w:val="006C3415"/>
    <w:rsid w:val="006E78CD"/>
    <w:rsid w:val="006F3DC4"/>
    <w:rsid w:val="00703C02"/>
    <w:rsid w:val="00707211"/>
    <w:rsid w:val="007245FD"/>
    <w:rsid w:val="007318DD"/>
    <w:rsid w:val="0073766B"/>
    <w:rsid w:val="00742659"/>
    <w:rsid w:val="00743ADE"/>
    <w:rsid w:val="00747D8F"/>
    <w:rsid w:val="007603F2"/>
    <w:rsid w:val="00765B14"/>
    <w:rsid w:val="00766BD8"/>
    <w:rsid w:val="007752CE"/>
    <w:rsid w:val="007875FA"/>
    <w:rsid w:val="00796B6D"/>
    <w:rsid w:val="007A60CD"/>
    <w:rsid w:val="007C6CF0"/>
    <w:rsid w:val="007D7D59"/>
    <w:rsid w:val="007E3B57"/>
    <w:rsid w:val="007F1875"/>
    <w:rsid w:val="007F4F92"/>
    <w:rsid w:val="0080128A"/>
    <w:rsid w:val="00820342"/>
    <w:rsid w:val="00822859"/>
    <w:rsid w:val="00824D1D"/>
    <w:rsid w:val="008501F0"/>
    <w:rsid w:val="00863533"/>
    <w:rsid w:val="00887F29"/>
    <w:rsid w:val="008974C8"/>
    <w:rsid w:val="008C3363"/>
    <w:rsid w:val="008C4E92"/>
    <w:rsid w:val="008D772F"/>
    <w:rsid w:val="008F1C61"/>
    <w:rsid w:val="00913E61"/>
    <w:rsid w:val="00914CD1"/>
    <w:rsid w:val="0091533C"/>
    <w:rsid w:val="00920477"/>
    <w:rsid w:val="00931BAD"/>
    <w:rsid w:val="0093458D"/>
    <w:rsid w:val="00934832"/>
    <w:rsid w:val="00943EB2"/>
    <w:rsid w:val="00944F09"/>
    <w:rsid w:val="009451D8"/>
    <w:rsid w:val="00951FF3"/>
    <w:rsid w:val="00952F8D"/>
    <w:rsid w:val="009603F6"/>
    <w:rsid w:val="00967AF8"/>
    <w:rsid w:val="009726B3"/>
    <w:rsid w:val="00974E4F"/>
    <w:rsid w:val="009936E1"/>
    <w:rsid w:val="009963AC"/>
    <w:rsid w:val="0099764C"/>
    <w:rsid w:val="009C01E1"/>
    <w:rsid w:val="009C4337"/>
    <w:rsid w:val="009F4E81"/>
    <w:rsid w:val="00A0543F"/>
    <w:rsid w:val="00A06A5A"/>
    <w:rsid w:val="00A11D39"/>
    <w:rsid w:val="00A14B3C"/>
    <w:rsid w:val="00A2087E"/>
    <w:rsid w:val="00A347E6"/>
    <w:rsid w:val="00A46FCF"/>
    <w:rsid w:val="00A54FBF"/>
    <w:rsid w:val="00A70448"/>
    <w:rsid w:val="00A81F84"/>
    <w:rsid w:val="00AA4B56"/>
    <w:rsid w:val="00AA4FF3"/>
    <w:rsid w:val="00AA64C1"/>
    <w:rsid w:val="00AE1B3E"/>
    <w:rsid w:val="00AF6AB5"/>
    <w:rsid w:val="00B0514D"/>
    <w:rsid w:val="00B10B1E"/>
    <w:rsid w:val="00B2058A"/>
    <w:rsid w:val="00B35644"/>
    <w:rsid w:val="00B94BD3"/>
    <w:rsid w:val="00B97703"/>
    <w:rsid w:val="00BA1F5E"/>
    <w:rsid w:val="00BA3D66"/>
    <w:rsid w:val="00BB06C5"/>
    <w:rsid w:val="00BC0F42"/>
    <w:rsid w:val="00BD0DF4"/>
    <w:rsid w:val="00BD2439"/>
    <w:rsid w:val="00BF026C"/>
    <w:rsid w:val="00C04BE2"/>
    <w:rsid w:val="00C23E07"/>
    <w:rsid w:val="00C358E5"/>
    <w:rsid w:val="00C3724F"/>
    <w:rsid w:val="00C421FE"/>
    <w:rsid w:val="00C66932"/>
    <w:rsid w:val="00C73C6D"/>
    <w:rsid w:val="00C76EF2"/>
    <w:rsid w:val="00C84223"/>
    <w:rsid w:val="00C930BA"/>
    <w:rsid w:val="00C96C61"/>
    <w:rsid w:val="00CB46B3"/>
    <w:rsid w:val="00CE1A3F"/>
    <w:rsid w:val="00CE2186"/>
    <w:rsid w:val="00CE2C29"/>
    <w:rsid w:val="00CF6087"/>
    <w:rsid w:val="00D02034"/>
    <w:rsid w:val="00D07A54"/>
    <w:rsid w:val="00D13BA5"/>
    <w:rsid w:val="00D14BB6"/>
    <w:rsid w:val="00D2527F"/>
    <w:rsid w:val="00D33624"/>
    <w:rsid w:val="00D41932"/>
    <w:rsid w:val="00D438D6"/>
    <w:rsid w:val="00D53AD6"/>
    <w:rsid w:val="00D53B3C"/>
    <w:rsid w:val="00D60CDD"/>
    <w:rsid w:val="00DA7B88"/>
    <w:rsid w:val="00DB1AB4"/>
    <w:rsid w:val="00DC3CC8"/>
    <w:rsid w:val="00DC6326"/>
    <w:rsid w:val="00DD5D57"/>
    <w:rsid w:val="00DE01CB"/>
    <w:rsid w:val="00E0343E"/>
    <w:rsid w:val="00E13249"/>
    <w:rsid w:val="00E136A6"/>
    <w:rsid w:val="00E200F2"/>
    <w:rsid w:val="00E2241D"/>
    <w:rsid w:val="00E22B8E"/>
    <w:rsid w:val="00E273B7"/>
    <w:rsid w:val="00E30CA7"/>
    <w:rsid w:val="00E3644D"/>
    <w:rsid w:val="00E452D1"/>
    <w:rsid w:val="00E4643C"/>
    <w:rsid w:val="00E6383E"/>
    <w:rsid w:val="00E930A1"/>
    <w:rsid w:val="00E934FE"/>
    <w:rsid w:val="00E937AB"/>
    <w:rsid w:val="00E96837"/>
    <w:rsid w:val="00ED3575"/>
    <w:rsid w:val="00EF32ED"/>
    <w:rsid w:val="00F11FA8"/>
    <w:rsid w:val="00F1255F"/>
    <w:rsid w:val="00F14E70"/>
    <w:rsid w:val="00F17EED"/>
    <w:rsid w:val="00F25496"/>
    <w:rsid w:val="00F30215"/>
    <w:rsid w:val="00F315AE"/>
    <w:rsid w:val="00F34616"/>
    <w:rsid w:val="00F37EDA"/>
    <w:rsid w:val="00F43AB8"/>
    <w:rsid w:val="00F47C64"/>
    <w:rsid w:val="00F548BE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5F49"/>
    <w:rsid w:val="00FA6E1A"/>
    <w:rsid w:val="00FA71EF"/>
    <w:rsid w:val="00FB2E7B"/>
    <w:rsid w:val="00FC435D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D60CDD"/>
    <w:rPr>
      <w:color w:val="605E5C"/>
      <w:shd w:val="clear" w:color="auto" w:fill="E1DFDD"/>
    </w:rPr>
  </w:style>
  <w:style w:type="paragraph" w:customStyle="1" w:styleId="Contact">
    <w:name w:val="Contact"/>
    <w:basedOn w:val="40"/>
    <w:rsid w:val="00CE1A3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ixia.q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61</cp:revision>
  <cp:lastPrinted>2002-04-23T07:10:00Z</cp:lastPrinted>
  <dcterms:created xsi:type="dcterms:W3CDTF">2023-08-07T07:45:00Z</dcterms:created>
  <dcterms:modified xsi:type="dcterms:W3CDTF">2024-02-19T03:07:00Z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(3)Gqv9Lw/yt7OlcQTpoGR6N1rGoOR3vc0hznc9QgLQCHb1aPslxIkEFUokTUvvVkQmUxba2Kkp
PqgnawRUNMBvt92hVOvN0X3cCF/K8UG6keCcqbVWfyH5IIDDpCjGyg6UEIfNlHBTd5U90Z2e
L+laLJGVOzqZQdrGnUFGYTdxoDyXSJiFXHvgvcy4DBVdOlRQjBduSPr8DBg9d0THYmeW1r2z
HLz3WIv0EFe8WiJohm</vt:lpwstr>
  </property>
  <property fmtid="{D5CDD505-2E9C-101B-9397-08002B2CF9AE}" pid="3" name="_2015_ms_pID_7253431">
    <vt:lpwstr>BnE7/GBC3Eaxo+9++CpV7fZHICh7uXExIHD6GaqMRvx0PTbf9L7zkb
g1B9OyMhx/gieMK6ZAHUx9ZgXcjpVKIHcQZ3Kk8yJcL3YBelsl79OQ1Clgu1YeijXh3rc58L
0swlXMbHc/xgJRpPXqus6UvDjOdY+WRdT2GN/ShZSMMN97QtK1CINk5nAeVLJy+ctuEHw9oU
Yw1xikCMaIccnXgYzZ5YYlITn5k0bGcIH3wj</vt:lpwstr>
  </property>
  <property fmtid="{D5CDD505-2E9C-101B-9397-08002B2CF9AE}" pid="4" name="_2015_ms_pID_7253432">
    <vt:lpwstr>mEtT/zeG7vqA7HfDLR4Z/4I=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1706616388</vt:lpwstr>
  </property>
</Properties>
</file>